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4718" w14:textId="77777777" w:rsidR="009900A0" w:rsidRDefault="009900A0" w:rsidP="009900A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35DD0845" w14:textId="128F3A86" w:rsidR="00280FEF" w:rsidRDefault="00041E87" w:rsidP="009900A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Zestawienie nieuwzględnionych uwag </w:t>
      </w:r>
      <w:r w:rsidR="009900A0" w:rsidRPr="00B2398F">
        <w:rPr>
          <w:rFonts w:ascii="Times New Roman" w:hAnsi="Times New Roman" w:cs="Times New Roman"/>
          <w:b/>
          <w:bCs/>
        </w:rPr>
        <w:t xml:space="preserve">zgłoszonych w ramach </w:t>
      </w:r>
      <w:r w:rsidR="009E6CD0">
        <w:rPr>
          <w:rFonts w:ascii="Times New Roman" w:hAnsi="Times New Roman" w:cs="Times New Roman"/>
          <w:b/>
          <w:bCs/>
        </w:rPr>
        <w:t xml:space="preserve">opiniowania i </w:t>
      </w:r>
      <w:r w:rsidR="009900A0">
        <w:rPr>
          <w:rFonts w:ascii="Times New Roman" w:hAnsi="Times New Roman" w:cs="Times New Roman"/>
          <w:b/>
          <w:bCs/>
        </w:rPr>
        <w:t xml:space="preserve">ponownego </w:t>
      </w:r>
      <w:r w:rsidR="009900A0" w:rsidRPr="00B2398F">
        <w:rPr>
          <w:rFonts w:ascii="Times New Roman" w:hAnsi="Times New Roman" w:cs="Times New Roman"/>
          <w:b/>
          <w:bCs/>
        </w:rPr>
        <w:t>opiniowania</w:t>
      </w:r>
      <w:r w:rsidR="009900A0">
        <w:rPr>
          <w:rFonts w:ascii="Times New Roman" w:hAnsi="Times New Roman" w:cs="Times New Roman"/>
          <w:b/>
          <w:bCs/>
        </w:rPr>
        <w:t xml:space="preserve"> </w:t>
      </w:r>
      <w:r w:rsidR="00280FEF" w:rsidRPr="00B2398F">
        <w:rPr>
          <w:rFonts w:ascii="Times New Roman" w:hAnsi="Times New Roman" w:cs="Times New Roman"/>
          <w:b/>
          <w:bCs/>
        </w:rPr>
        <w:t>do projektu rozporządzenia Prezesa Rady Ministrów w sprawie danych przekazywanych w przypadku zaprzestania działalności przez przedsiębiorcę telekomunikacyjnego albo ogłoszenia jego upadłości</w:t>
      </w:r>
      <w:r w:rsidR="00280FEF">
        <w:rPr>
          <w:rFonts w:ascii="Times New Roman" w:hAnsi="Times New Roman" w:cs="Times New Roman"/>
          <w:b/>
          <w:bCs/>
        </w:rPr>
        <w:t xml:space="preserve"> </w:t>
      </w:r>
      <w:r w:rsidR="00280FEF" w:rsidRPr="00B2398F">
        <w:rPr>
          <w:rFonts w:ascii="Times New Roman" w:hAnsi="Times New Roman" w:cs="Times New Roman"/>
          <w:b/>
          <w:bCs/>
        </w:rPr>
        <w:t>(WPL PRM nr 57)</w:t>
      </w:r>
    </w:p>
    <w:p w14:paraId="2B47F16B" w14:textId="77777777" w:rsidR="009900A0" w:rsidRDefault="009900A0" w:rsidP="009900A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4B2CD379" w14:textId="77777777" w:rsidR="00DF4527" w:rsidRPr="007C5FE4" w:rsidRDefault="00DF4527" w:rsidP="00DF4527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Tabela-Siatka"/>
        <w:tblW w:w="15510" w:type="dxa"/>
        <w:tblInd w:w="-147" w:type="dxa"/>
        <w:tblLook w:val="04A0" w:firstRow="1" w:lastRow="0" w:firstColumn="1" w:lastColumn="0" w:noHBand="0" w:noVBand="1"/>
      </w:tblPr>
      <w:tblGrid>
        <w:gridCol w:w="596"/>
        <w:gridCol w:w="1399"/>
        <w:gridCol w:w="1764"/>
        <w:gridCol w:w="5314"/>
        <w:gridCol w:w="6437"/>
      </w:tblGrid>
      <w:tr w:rsidR="00DF4527" w:rsidRPr="0053279A" w14:paraId="35087CD2" w14:textId="77777777" w:rsidTr="009900A0">
        <w:trPr>
          <w:cantSplit/>
          <w:trHeight w:val="807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40DC3DC8" w14:textId="68850814" w:rsidR="00DF4527" w:rsidRPr="00747B38" w:rsidRDefault="009753A3" w:rsidP="0057644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399" w:type="dxa"/>
            <w:shd w:val="clear" w:color="auto" w:fill="D9D9D9" w:themeFill="background1" w:themeFillShade="D9"/>
            <w:vAlign w:val="center"/>
          </w:tcPr>
          <w:p w14:paraId="5C3AEFCE" w14:textId="246D43B8" w:rsidR="00DF4527" w:rsidRPr="00747B38" w:rsidRDefault="009753A3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Jednostka redakcyjna projektu</w:t>
            </w:r>
          </w:p>
        </w:tc>
        <w:tc>
          <w:tcPr>
            <w:tcW w:w="1764" w:type="dxa"/>
            <w:shd w:val="clear" w:color="auto" w:fill="D9D9D9" w:themeFill="background1" w:themeFillShade="D9"/>
            <w:vAlign w:val="center"/>
          </w:tcPr>
          <w:p w14:paraId="5C0E9CFB" w14:textId="6A690D06" w:rsidR="00DF4527" w:rsidRPr="00747B38" w:rsidRDefault="00775FF8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Podmiot z</w:t>
            </w:r>
            <w:r w:rsidR="009753A3" w:rsidRPr="00747B38">
              <w:rPr>
                <w:rFonts w:ascii="Times New Roman" w:hAnsi="Times New Roman" w:cs="Times New Roman"/>
                <w:b/>
              </w:rPr>
              <w:t>głaszający</w:t>
            </w:r>
            <w:r w:rsidR="00DE1239">
              <w:rPr>
                <w:rFonts w:ascii="Times New Roman" w:hAnsi="Times New Roman" w:cs="Times New Roman"/>
                <w:b/>
              </w:rPr>
              <w:t xml:space="preserve"> uwagę</w:t>
            </w:r>
          </w:p>
        </w:tc>
        <w:tc>
          <w:tcPr>
            <w:tcW w:w="5314" w:type="dxa"/>
            <w:shd w:val="clear" w:color="auto" w:fill="D9D9D9" w:themeFill="background1" w:themeFillShade="D9"/>
            <w:vAlign w:val="center"/>
          </w:tcPr>
          <w:p w14:paraId="37A93FA5" w14:textId="0EBA8F04" w:rsidR="00DF4527" w:rsidRPr="00747B38" w:rsidRDefault="009753A3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Treść uwagi</w:t>
            </w:r>
          </w:p>
        </w:tc>
        <w:tc>
          <w:tcPr>
            <w:tcW w:w="6437" w:type="dxa"/>
            <w:shd w:val="clear" w:color="auto" w:fill="D9D9D9" w:themeFill="background1" w:themeFillShade="D9"/>
            <w:vAlign w:val="center"/>
          </w:tcPr>
          <w:p w14:paraId="72FB7D72" w14:textId="233CA515" w:rsidR="00DF4527" w:rsidRPr="00747B38" w:rsidRDefault="009753A3" w:rsidP="00041E87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Stanowisko M</w:t>
            </w:r>
            <w:r w:rsidR="00775FF8" w:rsidRPr="00747B38">
              <w:rPr>
                <w:rFonts w:ascii="Times New Roman" w:hAnsi="Times New Roman" w:cs="Times New Roman"/>
                <w:b/>
              </w:rPr>
              <w:t>inistra Cyfryzacji</w:t>
            </w:r>
          </w:p>
        </w:tc>
      </w:tr>
      <w:tr w:rsidR="009E6CD0" w:rsidRPr="0053279A" w14:paraId="36847190" w14:textId="77777777" w:rsidTr="009E6CD0">
        <w:trPr>
          <w:cantSplit/>
          <w:trHeight w:val="496"/>
        </w:trPr>
        <w:tc>
          <w:tcPr>
            <w:tcW w:w="15510" w:type="dxa"/>
            <w:gridSpan w:val="5"/>
            <w:shd w:val="clear" w:color="auto" w:fill="F2F2F2" w:themeFill="background1" w:themeFillShade="F2"/>
            <w:vAlign w:val="center"/>
          </w:tcPr>
          <w:p w14:paraId="1E4ACC18" w14:textId="56A285B2" w:rsidR="009E6CD0" w:rsidRPr="009E6CD0" w:rsidRDefault="009E6CD0" w:rsidP="009E6CD0">
            <w:pPr>
              <w:pStyle w:val="Bezodstpw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E6CD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OPINIOWANIE</w:t>
            </w:r>
          </w:p>
        </w:tc>
      </w:tr>
      <w:tr w:rsidR="009E6CD0" w:rsidRPr="0053279A" w14:paraId="3BEFEB85" w14:textId="77777777" w:rsidTr="009900A0">
        <w:trPr>
          <w:cantSplit/>
          <w:trHeight w:val="1294"/>
        </w:trPr>
        <w:tc>
          <w:tcPr>
            <w:tcW w:w="596" w:type="dxa"/>
            <w:vAlign w:val="center"/>
          </w:tcPr>
          <w:p w14:paraId="2CAF117C" w14:textId="77777777" w:rsidR="009E6CD0" w:rsidRPr="003025C8" w:rsidRDefault="009E6CD0" w:rsidP="00371E62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vAlign w:val="center"/>
          </w:tcPr>
          <w:p w14:paraId="533E9105" w14:textId="7E2B14B8" w:rsidR="009E6CD0" w:rsidRPr="00F021AA" w:rsidRDefault="009E6CD0" w:rsidP="00371E6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hAnsi="Times New Roman" w:cs="Times New Roman"/>
              </w:rPr>
              <w:t>§ 2</w:t>
            </w:r>
          </w:p>
        </w:tc>
        <w:tc>
          <w:tcPr>
            <w:tcW w:w="1764" w:type="dxa"/>
            <w:vAlign w:val="center"/>
          </w:tcPr>
          <w:p w14:paraId="224E57E4" w14:textId="26540A9C" w:rsidR="009E6CD0" w:rsidRDefault="009E6CD0" w:rsidP="00371E6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Prezes </w:t>
            </w:r>
            <w:r w:rsidRPr="00964C89">
              <w:rPr>
                <w:rFonts w:ascii="Times New Roman" w:hAnsi="Times New Roman" w:cs="Times New Roman"/>
                <w:b/>
                <w:bCs/>
              </w:rPr>
              <w:t>Urząd Komunikacji Elektronicznej</w:t>
            </w:r>
          </w:p>
        </w:tc>
        <w:tc>
          <w:tcPr>
            <w:tcW w:w="5314" w:type="dxa"/>
          </w:tcPr>
          <w:p w14:paraId="6D89355A" w14:textId="77777777" w:rsidR="009E6CD0" w:rsidRPr="009D6E13" w:rsidRDefault="009E6CD0" w:rsidP="00371E62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§ 2 – proponuje się dodanie regulacji wskazującej na konieczność ustalenia z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Prezesem UKE przez zaprzestającego działalności albo upadłego:</w:t>
            </w:r>
          </w:p>
          <w:p w14:paraId="43D0A446" w14:textId="77777777" w:rsidR="009E6CD0" w:rsidRPr="009D6E13" w:rsidRDefault="009E6CD0" w:rsidP="00371E62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a) rodzaju informatycznego nośnika danych, na którym przekaże on dane,</w:t>
            </w:r>
          </w:p>
          <w:p w14:paraId="363ADE88" w14:textId="77777777" w:rsidR="009E6CD0" w:rsidRPr="009D6E13" w:rsidRDefault="009E6CD0" w:rsidP="00371E62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b) formatu danych umożliwiającego ich odtworzenie za pomocą powszechnie dostępnych urządzeń informatycznych i oprogramowania,</w:t>
            </w:r>
          </w:p>
          <w:p w14:paraId="0B77DDBA" w14:textId="77777777" w:rsidR="009E6CD0" w:rsidRPr="009D6E13" w:rsidRDefault="009E6CD0" w:rsidP="00371E62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c) struktury danych,</w:t>
            </w:r>
          </w:p>
          <w:p w14:paraId="328E8EF6" w14:textId="1081E5A4" w:rsidR="009E6CD0" w:rsidRDefault="009E6CD0" w:rsidP="00371E62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d) sposobu zabezpieczenia danych.</w:t>
            </w:r>
          </w:p>
        </w:tc>
        <w:tc>
          <w:tcPr>
            <w:tcW w:w="6437" w:type="dxa"/>
          </w:tcPr>
          <w:p w14:paraId="220F31A2" w14:textId="66F852D9" w:rsidR="009E6CD0" w:rsidRDefault="009E6CD0" w:rsidP="00371E62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 xml:space="preserve">Obowiązek przekazania </w:t>
            </w:r>
            <w:r w:rsidR="00A1161B" w:rsidRPr="00A1161B">
              <w:rPr>
                <w:rFonts w:ascii="Times New Roman" w:hAnsi="Times New Roman" w:cs="Times New Roman"/>
              </w:rPr>
              <w:t xml:space="preserve">danych, o których mowa w art. 47 ust. 1 pkt 1 </w:t>
            </w:r>
            <w:r w:rsidR="00A1161B" w:rsidRPr="009D6E13">
              <w:rPr>
                <w:rFonts w:ascii="Times New Roman" w:eastAsia="Times New Roman" w:hAnsi="Times New Roman" w:cs="Times New Roman"/>
                <w:lang w:eastAsia="pl-PL"/>
              </w:rPr>
              <w:t>ustawy</w:t>
            </w:r>
            <w:r w:rsidR="00A1161B">
              <w:rPr>
                <w:rFonts w:ascii="Times New Roman" w:eastAsia="Times New Roman" w:hAnsi="Times New Roman" w:cs="Times New Roman"/>
                <w:lang w:eastAsia="pl-PL"/>
              </w:rPr>
              <w:t xml:space="preserve"> z dnia 12 lipca 2024 r. – Prawo komunikacji elektronicznej</w:t>
            </w:r>
            <w:r w:rsidR="00A1161B" w:rsidRPr="00A1161B">
              <w:rPr>
                <w:rFonts w:ascii="Times New Roman" w:hAnsi="Times New Roman" w:cs="Times New Roman"/>
              </w:rPr>
              <w:t xml:space="preserve">, </w:t>
            </w:r>
            <w:r w:rsidR="00A1161B">
              <w:rPr>
                <w:rFonts w:ascii="Times New Roman" w:hAnsi="Times New Roman" w:cs="Times New Roman"/>
              </w:rPr>
              <w:t>zwanych dalej „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dany</w:t>
            </w:r>
            <w:r w:rsidR="00A1161B">
              <w:rPr>
                <w:rFonts w:ascii="Times New Roman" w:eastAsia="Times New Roman" w:hAnsi="Times New Roman" w:cs="Times New Roman"/>
                <w:lang w:eastAsia="pl-PL"/>
              </w:rPr>
              <w:t>mi”,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 xml:space="preserve"> Prezesowi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Urzędu Komunikacji Elektronicznej</w:t>
            </w:r>
            <w:r w:rsidR="00371E62">
              <w:rPr>
                <w:rFonts w:ascii="Times New Roman" w:eastAsia="Times New Roman" w:hAnsi="Times New Roman" w:cs="Times New Roman"/>
                <w:lang w:eastAsia="pl-PL"/>
              </w:rPr>
              <w:t>, zwane</w:t>
            </w:r>
            <w:r w:rsidR="00A1161B">
              <w:rPr>
                <w:rFonts w:ascii="Times New Roman" w:eastAsia="Times New Roman" w:hAnsi="Times New Roman" w:cs="Times New Roman"/>
                <w:lang w:eastAsia="pl-PL"/>
              </w:rPr>
              <w:t>mu</w:t>
            </w:r>
            <w:r w:rsidR="00371E62">
              <w:rPr>
                <w:rFonts w:ascii="Times New Roman" w:eastAsia="Times New Roman" w:hAnsi="Times New Roman" w:cs="Times New Roman"/>
                <w:lang w:eastAsia="pl-PL"/>
              </w:rPr>
              <w:t xml:space="preserve"> dalej „Prezesem UKE”,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 xml:space="preserve"> na informatycznym nośniku danych w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postaci zapisu w formacie tekstowym lub innym formacie umożliwiającym ich odczyt za pomocą powszechnie dostępnych urządzeń informatycznych 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 xml:space="preserve">oprogramowania nakłada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na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 xml:space="preserve"> zaprzestającego działalności albo upadłego przedsiębiorcę telekomunikacyjnego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wprost 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art. 48 ust. 3 ustawy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z dnia 12 lipca 2024</w:t>
            </w:r>
            <w:r w:rsidR="00FA2803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r. – Prawo komunikacji elektronicz</w:t>
            </w:r>
            <w:r w:rsidR="00371E62">
              <w:rPr>
                <w:rFonts w:ascii="Times New Roman" w:eastAsia="Times New Roman" w:hAnsi="Times New Roman" w:cs="Times New Roman"/>
                <w:lang w:eastAsia="pl-PL"/>
              </w:rPr>
              <w:t>nej, zwanej dalej „PKE”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. Jeśli chodzi o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działanie praktyczne, to takich ustaleń Prezes U</w:t>
            </w:r>
            <w:r w:rsidR="00FA2803">
              <w:rPr>
                <w:rFonts w:ascii="Times New Roman" w:eastAsia="Times New Roman" w:hAnsi="Times New Roman" w:cs="Times New Roman"/>
                <w:lang w:eastAsia="pl-PL"/>
              </w:rPr>
              <w:t xml:space="preserve">KE 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może dokonać z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 xml:space="preserve">przedsiębiorcą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telekomunikacyjnym 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po otrzymaniu zawiadomienia, o którym mowa w § 2 ust. 1 projektu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rozporządzenia</w:t>
            </w:r>
            <w:r w:rsidRPr="009D6E13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9E6CD0" w:rsidRPr="0053279A" w14:paraId="5307C54F" w14:textId="77777777" w:rsidTr="009E6CD0">
        <w:trPr>
          <w:cantSplit/>
          <w:trHeight w:val="596"/>
        </w:trPr>
        <w:tc>
          <w:tcPr>
            <w:tcW w:w="15510" w:type="dxa"/>
            <w:gridSpan w:val="5"/>
            <w:shd w:val="clear" w:color="auto" w:fill="F2F2F2" w:themeFill="background1" w:themeFillShade="F2"/>
            <w:vAlign w:val="center"/>
          </w:tcPr>
          <w:p w14:paraId="2602C336" w14:textId="6899F8C5" w:rsidR="009E6CD0" w:rsidRPr="009E6CD0" w:rsidRDefault="009E6CD0" w:rsidP="00371E6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6CD0">
              <w:rPr>
                <w:rFonts w:ascii="Times New Roman" w:hAnsi="Times New Roman" w:cs="Times New Roman"/>
                <w:b/>
                <w:bCs/>
              </w:rPr>
              <w:t>PONOWNE OPINIOWANIE</w:t>
            </w:r>
          </w:p>
        </w:tc>
      </w:tr>
      <w:tr w:rsidR="001F7B92" w:rsidRPr="0053279A" w14:paraId="336E3989" w14:textId="77777777" w:rsidTr="009900A0">
        <w:trPr>
          <w:cantSplit/>
          <w:trHeight w:val="1294"/>
        </w:trPr>
        <w:tc>
          <w:tcPr>
            <w:tcW w:w="596" w:type="dxa"/>
            <w:vAlign w:val="center"/>
          </w:tcPr>
          <w:p w14:paraId="4B44E7CA" w14:textId="77777777" w:rsidR="001F7B92" w:rsidRPr="003025C8" w:rsidRDefault="001F7B92" w:rsidP="00371E62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vAlign w:val="center"/>
          </w:tcPr>
          <w:p w14:paraId="2D7D019B" w14:textId="100FCC00" w:rsidR="001F7B92" w:rsidRPr="00F021AA" w:rsidRDefault="001F7B92" w:rsidP="00371E6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1AA">
              <w:rPr>
                <w:rFonts w:ascii="Times New Roman" w:hAnsi="Times New Roman" w:cs="Times New Roman"/>
              </w:rPr>
              <w:t>§ 2 ust. 1</w:t>
            </w:r>
          </w:p>
        </w:tc>
        <w:tc>
          <w:tcPr>
            <w:tcW w:w="1764" w:type="dxa"/>
            <w:vAlign w:val="center"/>
          </w:tcPr>
          <w:p w14:paraId="2FB36D41" w14:textId="41294179" w:rsidR="001F7B92" w:rsidRDefault="001F7B92" w:rsidP="00371E6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Rzecznik Małych </w:t>
            </w:r>
            <w:r w:rsidR="009900A0"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i Średnich Przedsiębiorców</w:t>
            </w:r>
          </w:p>
        </w:tc>
        <w:tc>
          <w:tcPr>
            <w:tcW w:w="5314" w:type="dxa"/>
          </w:tcPr>
          <w:p w14:paraId="11731734" w14:textId="77777777" w:rsidR="001F7B92" w:rsidRPr="00F021AA" w:rsidRDefault="001F7B92" w:rsidP="00371E62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F021AA">
              <w:rPr>
                <w:rFonts w:ascii="Times New Roman" w:hAnsi="Times New Roman" w:cs="Times New Roman"/>
              </w:rPr>
              <w:t>eryfikacja prawidłowości odesłania zawartego w § 2 ust. 1 Projektu – w kontekście wymogu „uzasadnienia” przekazywania danych, zamiast wymogu wskazania jednej z przyczyn zakańczania działalności przedsiębiorcy telekomunikacyjnego (o czym mowa w przepisie, do którego wskazano odesłanie).</w:t>
            </w:r>
          </w:p>
        </w:tc>
        <w:tc>
          <w:tcPr>
            <w:tcW w:w="6437" w:type="dxa"/>
          </w:tcPr>
          <w:p w14:paraId="53E5D6CC" w14:textId="466030D2" w:rsidR="001F7B92" w:rsidRPr="003025C8" w:rsidRDefault="001F7B92" w:rsidP="00371E62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79576C">
              <w:rPr>
                <w:rFonts w:ascii="Times New Roman" w:hAnsi="Times New Roman" w:cs="Times New Roman"/>
              </w:rPr>
              <w:t xml:space="preserve">rzepis w art. 48 ust. 2 </w:t>
            </w:r>
            <w:r w:rsidRPr="0009134D">
              <w:rPr>
                <w:rFonts w:ascii="Times New Roman" w:hAnsi="Times New Roman" w:cs="Times New Roman"/>
              </w:rPr>
              <w:t>PKE</w:t>
            </w:r>
            <w:r w:rsidR="00793F55">
              <w:rPr>
                <w:rFonts w:ascii="Times New Roman" w:hAnsi="Times New Roman" w:cs="Times New Roman"/>
              </w:rPr>
              <w:t xml:space="preserve"> stanowi </w:t>
            </w:r>
            <w:r w:rsidRPr="0079576C">
              <w:rPr>
                <w:rFonts w:ascii="Times New Roman" w:hAnsi="Times New Roman" w:cs="Times New Roman"/>
              </w:rPr>
              <w:t xml:space="preserve">jednoznacznie o </w:t>
            </w:r>
            <w:r>
              <w:rPr>
                <w:rFonts w:ascii="Times New Roman" w:hAnsi="Times New Roman" w:cs="Times New Roman"/>
              </w:rPr>
              <w:t xml:space="preserve">przekazaniu </w:t>
            </w:r>
            <w:r w:rsidRPr="0079576C">
              <w:rPr>
                <w:rFonts w:ascii="Times New Roman" w:hAnsi="Times New Roman" w:cs="Times New Roman"/>
              </w:rPr>
              <w:t>uzasadnieni</w:t>
            </w:r>
            <w:r>
              <w:rPr>
                <w:rFonts w:ascii="Times New Roman" w:hAnsi="Times New Roman" w:cs="Times New Roman"/>
              </w:rPr>
              <w:t>a</w:t>
            </w:r>
            <w:r w:rsidRPr="0079576C">
              <w:rPr>
                <w:rFonts w:ascii="Times New Roman" w:hAnsi="Times New Roman" w:cs="Times New Roman"/>
              </w:rPr>
              <w:t>, a nie o wskazaniu przyczyn zakończenia działalności przez przedsiębiorcę telekomunikacyjnego. Natomiast nie ma żadnego wskazania co do zawartości takiego uzasadnienia i domyślnie przedsiębiorca</w:t>
            </w:r>
            <w:r w:rsidR="00793F55">
              <w:rPr>
                <w:rFonts w:ascii="Times New Roman" w:hAnsi="Times New Roman" w:cs="Times New Roman"/>
              </w:rPr>
              <w:t xml:space="preserve"> telekomunikacyjny</w:t>
            </w:r>
            <w:r w:rsidRPr="0079576C">
              <w:rPr>
                <w:rFonts w:ascii="Times New Roman" w:hAnsi="Times New Roman" w:cs="Times New Roman"/>
              </w:rPr>
              <w:t xml:space="preserve"> będzie mógł ująć w nim informacje</w:t>
            </w:r>
            <w:r>
              <w:rPr>
                <w:rFonts w:ascii="Times New Roman" w:hAnsi="Times New Roman" w:cs="Times New Roman"/>
              </w:rPr>
              <w:t>,</w:t>
            </w:r>
            <w:r w:rsidRPr="0079576C">
              <w:rPr>
                <w:rFonts w:ascii="Times New Roman" w:hAnsi="Times New Roman" w:cs="Times New Roman"/>
              </w:rPr>
              <w:t xml:space="preserve"> o których mowa w uwadze.</w:t>
            </w:r>
          </w:p>
        </w:tc>
      </w:tr>
      <w:tr w:rsidR="00041E87" w:rsidRPr="0053279A" w14:paraId="1ED9AC3A" w14:textId="77777777" w:rsidTr="009900A0">
        <w:trPr>
          <w:cantSplit/>
          <w:trHeight w:val="1294"/>
        </w:trPr>
        <w:tc>
          <w:tcPr>
            <w:tcW w:w="596" w:type="dxa"/>
            <w:vAlign w:val="center"/>
          </w:tcPr>
          <w:p w14:paraId="7F480F0E" w14:textId="77777777" w:rsidR="00041E87" w:rsidRPr="003025C8" w:rsidRDefault="00041E87" w:rsidP="00371E62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vAlign w:val="center"/>
          </w:tcPr>
          <w:p w14:paraId="0A768759" w14:textId="77777777" w:rsidR="00041E87" w:rsidRPr="00F021AA" w:rsidRDefault="00041E87" w:rsidP="00371E6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1AA">
              <w:rPr>
                <w:rFonts w:ascii="Times New Roman" w:hAnsi="Times New Roman" w:cs="Times New Roman"/>
              </w:rPr>
              <w:t xml:space="preserve">§ 2 ust.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4" w:type="dxa"/>
            <w:vAlign w:val="center"/>
          </w:tcPr>
          <w:p w14:paraId="00330D2B" w14:textId="66C1883C" w:rsidR="00041E87" w:rsidRDefault="00041E87" w:rsidP="00371E6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Rzecznik Małych </w:t>
            </w:r>
            <w:r w:rsidR="009900A0"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i Średnich Przedsiębiorców</w:t>
            </w:r>
          </w:p>
        </w:tc>
        <w:tc>
          <w:tcPr>
            <w:tcW w:w="5314" w:type="dxa"/>
          </w:tcPr>
          <w:p w14:paraId="418CE810" w14:textId="77777777" w:rsidR="00041E87" w:rsidRPr="00F021AA" w:rsidRDefault="00041E87" w:rsidP="00371E62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1AA">
              <w:rPr>
                <w:rFonts w:ascii="Times New Roman" w:hAnsi="Times New Roman" w:cs="Times New Roman"/>
              </w:rPr>
              <w:t>Projekt ustanawia wymóg, zawarty w projektowanym § 2 ust. 3, zgodnie z którym przekazanie przedmiotowych danych następuje w siedzibie Urzędu Komunikacji Elektronicznej po sformalizowanym uzgodnieniu terminu przekazania, wyłącznie na informatycznym nośniku danych w postaci fizycznej, co jest konsekwencją uregulowania w art. 48 ust. 3 ustawy z dnia 12 lipca 2024 r. Prawo komunikacji elektronicznej. Propozycja taka może stanowić duże obciążenie lub utrudnienie dla podmiotu zobowiązanego, szczególnie w realiach upadłości lub innej likwidacji działalności przedsiębiorcy, gdy jego zasoby kadrowe i środki są ograniczone. Biorąc pod uwagę współczesne możliwości techniczne trzeba zweryfikować, czy taki wymóg jest proporcjonalny i konieczny. Warto zatem uwzględnić możliwość przekazywania danych za pomocą systemu teleinformatycznego z zachowaniem wymogów bezpieczeństwa, np. szyfrowana transmisja danych W takim przypadku uzgadnianie terminu przekazania danych w siedzibie UKE może nie być konieczne.</w:t>
            </w:r>
          </w:p>
        </w:tc>
        <w:tc>
          <w:tcPr>
            <w:tcW w:w="6437" w:type="dxa"/>
          </w:tcPr>
          <w:p w14:paraId="49A37559" w14:textId="1622F19A" w:rsidR="00041E87" w:rsidRPr="003025C8" w:rsidRDefault="00041E87" w:rsidP="00371E62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Art.</w:t>
            </w:r>
            <w:r w:rsidRPr="004B081C">
              <w:rPr>
                <w:rFonts w:ascii="Times New Roman" w:hAnsi="Times New Roman" w:cs="Times New Roman"/>
              </w:rPr>
              <w:t xml:space="preserve"> 48 ust. 3 </w:t>
            </w:r>
            <w:r>
              <w:rPr>
                <w:rFonts w:ascii="Times New Roman" w:hAnsi="Times New Roman" w:cs="Times New Roman"/>
              </w:rPr>
              <w:t xml:space="preserve">PKE </w:t>
            </w:r>
            <w:r w:rsidRPr="004B081C">
              <w:rPr>
                <w:rFonts w:ascii="Times New Roman" w:hAnsi="Times New Roman" w:cs="Times New Roman"/>
              </w:rPr>
              <w:t>jednoznacznie wskazuje na to, że przekazanie danych następuje na informatycznym nośniku danych, a zatem nie jest możliwe ich przekazanie w systemie teleinformatycznym. Sposobem przekazania danych na nośniku, który w najpełniejszy sposób zapewnia bezpieczeństwo przekazywanych danych jest przekazanie nośnika w</w:t>
            </w:r>
            <w:r w:rsidR="00FA2803">
              <w:rPr>
                <w:rFonts w:ascii="Times New Roman" w:hAnsi="Times New Roman" w:cs="Times New Roman"/>
              </w:rPr>
              <w:t> </w:t>
            </w:r>
            <w:r w:rsidRPr="004B081C">
              <w:rPr>
                <w:rFonts w:ascii="Times New Roman" w:hAnsi="Times New Roman" w:cs="Times New Roman"/>
              </w:rPr>
              <w:t>siedzibie U</w:t>
            </w:r>
            <w:r>
              <w:rPr>
                <w:rFonts w:ascii="Times New Roman" w:hAnsi="Times New Roman" w:cs="Times New Roman"/>
              </w:rPr>
              <w:t xml:space="preserve">rzędu </w:t>
            </w:r>
            <w:r w:rsidRPr="004B081C"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</w:rPr>
              <w:t xml:space="preserve">omunikacji </w:t>
            </w:r>
            <w:r w:rsidRPr="004B081C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lektronicznej</w:t>
            </w:r>
            <w:r w:rsidRPr="004B081C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1F7B92" w:rsidRPr="0053279A" w14:paraId="5EA411BD" w14:textId="77777777" w:rsidTr="00A1161B">
        <w:trPr>
          <w:trHeight w:val="692"/>
        </w:trPr>
        <w:tc>
          <w:tcPr>
            <w:tcW w:w="596" w:type="dxa"/>
            <w:vAlign w:val="center"/>
          </w:tcPr>
          <w:p w14:paraId="5C64FD64" w14:textId="77777777" w:rsidR="001F7B92" w:rsidRPr="003025C8" w:rsidRDefault="001F7B92" w:rsidP="00371E62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vAlign w:val="center"/>
          </w:tcPr>
          <w:p w14:paraId="2959BC8C" w14:textId="4911E2A8" w:rsidR="001F7B92" w:rsidRPr="000E4BE2" w:rsidRDefault="001F7B92" w:rsidP="00371E6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866F6">
              <w:rPr>
                <w:rFonts w:ascii="Times New Roman" w:hAnsi="Times New Roman" w:cs="Times New Roman"/>
              </w:rPr>
              <w:t>§ 2 ust. 6</w:t>
            </w:r>
          </w:p>
        </w:tc>
        <w:tc>
          <w:tcPr>
            <w:tcW w:w="1764" w:type="dxa"/>
            <w:vAlign w:val="center"/>
          </w:tcPr>
          <w:p w14:paraId="72A30AD1" w14:textId="77777777" w:rsidR="001F7B92" w:rsidRDefault="001F7B92" w:rsidP="00371E6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Prezes Urzędu Komunikacji Elektronicznej</w:t>
            </w:r>
          </w:p>
        </w:tc>
        <w:tc>
          <w:tcPr>
            <w:tcW w:w="5314" w:type="dxa"/>
          </w:tcPr>
          <w:p w14:paraId="73E2EA76" w14:textId="77777777" w:rsidR="001F7B92" w:rsidRPr="006866F6" w:rsidRDefault="001F7B92" w:rsidP="00371E62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6866F6">
              <w:rPr>
                <w:rFonts w:ascii="Times New Roman" w:hAnsi="Times New Roman" w:cs="Times New Roman"/>
              </w:rPr>
              <w:t xml:space="preserve">asadnym jest, aby w protokole z czynności przekazania danych wskazywać również format systemu przekazywanych plików oraz informację, w jaki sposób nośniki zawierające te pliki można odczytać. Ponadto proponuje się, aby protokół zawierał również informację, czy pliki zawarte na nośnikach danych podlegających przekazaniu Prezesowi UKE udało się prawidłowo odczytać. </w:t>
            </w:r>
          </w:p>
        </w:tc>
        <w:tc>
          <w:tcPr>
            <w:tcW w:w="6437" w:type="dxa"/>
          </w:tcPr>
          <w:p w14:paraId="196BFBB5" w14:textId="1779028F" w:rsidR="001F7B92" w:rsidRPr="003025C8" w:rsidRDefault="00A1161B" w:rsidP="00A1161B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1161B">
              <w:rPr>
                <w:rFonts w:ascii="Times New Roman" w:hAnsi="Times New Roman" w:cs="Times New Roman"/>
              </w:rPr>
              <w:t>Format systemu przekazywanych plików, jest określony w art. 48 ust.</w:t>
            </w:r>
            <w:r w:rsidR="00FA2803">
              <w:rPr>
                <w:rFonts w:ascii="Times New Roman" w:hAnsi="Times New Roman" w:cs="Times New Roman"/>
              </w:rPr>
              <w:t> </w:t>
            </w:r>
            <w:r w:rsidRPr="00A1161B">
              <w:rPr>
                <w:rFonts w:ascii="Times New Roman" w:hAnsi="Times New Roman" w:cs="Times New Roman"/>
              </w:rPr>
              <w:t>3 PKE: (…) „w postaci zapisu w formacie tekstowym lub innym formacie umożliwiającym ich odczyt za pomocą powszechnie dostępnych urządzeń informatycznych i oprogramowania” i jest możliwy do zidentyfikowania podczas sprawdzenia zawartości nośnika, w trakcie przekazania danych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161B">
              <w:rPr>
                <w:rFonts w:ascii="Times New Roman" w:hAnsi="Times New Roman" w:cs="Times New Roman"/>
              </w:rPr>
              <w:t>Prezesowi UKE, podobnie jak możliwość odczytania przekazywanych danych. Prezes UKE nie przyjmie danych, których nie będzie mógł odczytać, celem udostępnienia, czy też weryfikacji czasu przechowywania poszczególnych rekordów. Ponadto, jeżeli w zbiorze plików przedsiębiorca telekomunikacyjny zaprzestający</w:t>
            </w:r>
            <w:r>
              <w:rPr>
                <w:rFonts w:ascii="Times New Roman" w:hAnsi="Times New Roman" w:cs="Times New Roman"/>
              </w:rPr>
              <w:t xml:space="preserve"> działalności albo wobec którego ogłoszono upadłość </w:t>
            </w:r>
            <w:r w:rsidRPr="00EC4F2C">
              <w:rPr>
                <w:rFonts w:ascii="Times New Roman" w:hAnsi="Times New Roman" w:cs="Times New Roman"/>
              </w:rPr>
              <w:t>zastosował własne zabezpieczenia, jest zobowiązany przekazać także i tę informację wraz z</w:t>
            </w:r>
            <w:r w:rsidR="00FA2803">
              <w:rPr>
                <w:rFonts w:ascii="Times New Roman" w:hAnsi="Times New Roman" w:cs="Times New Roman"/>
              </w:rPr>
              <w:t> </w:t>
            </w:r>
            <w:r w:rsidRPr="00EC4F2C">
              <w:rPr>
                <w:rFonts w:ascii="Times New Roman" w:hAnsi="Times New Roman" w:cs="Times New Roman"/>
              </w:rPr>
              <w:t xml:space="preserve">udostępnieniem </w:t>
            </w:r>
            <w:r>
              <w:rPr>
                <w:rFonts w:ascii="Times New Roman" w:hAnsi="Times New Roman" w:cs="Times New Roman"/>
              </w:rPr>
              <w:t>haseł dostępu do tych danych</w:t>
            </w:r>
            <w:r w:rsidRPr="00EC4F2C">
              <w:rPr>
                <w:rFonts w:ascii="Times New Roman" w:hAnsi="Times New Roman" w:cs="Times New Roman"/>
              </w:rPr>
              <w:t>.</w:t>
            </w:r>
          </w:p>
        </w:tc>
      </w:tr>
      <w:tr w:rsidR="00901223" w:rsidRPr="0053279A" w14:paraId="138FDA51" w14:textId="77777777" w:rsidTr="009900A0">
        <w:trPr>
          <w:trHeight w:val="692"/>
        </w:trPr>
        <w:tc>
          <w:tcPr>
            <w:tcW w:w="596" w:type="dxa"/>
            <w:vAlign w:val="center"/>
          </w:tcPr>
          <w:p w14:paraId="32F2EA54" w14:textId="77777777" w:rsidR="00901223" w:rsidRPr="003025C8" w:rsidRDefault="00901223" w:rsidP="00371E62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vAlign w:val="center"/>
          </w:tcPr>
          <w:p w14:paraId="2C147308" w14:textId="3A9D8A7A" w:rsidR="00901223" w:rsidRPr="000E4BE2" w:rsidRDefault="00F021AA" w:rsidP="00371E6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1AA">
              <w:rPr>
                <w:rFonts w:ascii="Times New Roman" w:hAnsi="Times New Roman" w:cs="Times New Roman"/>
              </w:rPr>
              <w:t xml:space="preserve">§ 2 ust. 6 </w:t>
            </w:r>
            <w:r>
              <w:rPr>
                <w:rFonts w:ascii="Times New Roman" w:hAnsi="Times New Roman" w:cs="Times New Roman"/>
              </w:rPr>
              <w:br/>
            </w:r>
            <w:r w:rsidRPr="00F021AA">
              <w:rPr>
                <w:rFonts w:ascii="Times New Roman" w:hAnsi="Times New Roman" w:cs="Times New Roman"/>
              </w:rPr>
              <w:t xml:space="preserve">pkt 4 </w:t>
            </w:r>
            <w:r>
              <w:rPr>
                <w:rFonts w:ascii="Times New Roman" w:hAnsi="Times New Roman" w:cs="Times New Roman"/>
              </w:rPr>
              <w:br/>
            </w:r>
            <w:r w:rsidRPr="00F021AA">
              <w:rPr>
                <w:rFonts w:ascii="Times New Roman" w:hAnsi="Times New Roman" w:cs="Times New Roman"/>
              </w:rPr>
              <w:t xml:space="preserve">oraz </w:t>
            </w:r>
            <w:r>
              <w:rPr>
                <w:rFonts w:ascii="Times New Roman" w:hAnsi="Times New Roman" w:cs="Times New Roman"/>
              </w:rPr>
              <w:br/>
            </w:r>
            <w:r w:rsidRPr="00F021AA">
              <w:rPr>
                <w:rFonts w:ascii="Times New Roman" w:hAnsi="Times New Roman" w:cs="Times New Roman"/>
              </w:rPr>
              <w:t xml:space="preserve">§ 3 ust. 6 </w:t>
            </w:r>
            <w:r>
              <w:rPr>
                <w:rFonts w:ascii="Times New Roman" w:hAnsi="Times New Roman" w:cs="Times New Roman"/>
              </w:rPr>
              <w:br/>
            </w:r>
            <w:r w:rsidRPr="00F021AA">
              <w:rPr>
                <w:rFonts w:ascii="Times New Roman" w:hAnsi="Times New Roman" w:cs="Times New Roman"/>
              </w:rPr>
              <w:t>pkt 5</w:t>
            </w:r>
          </w:p>
        </w:tc>
        <w:tc>
          <w:tcPr>
            <w:tcW w:w="1764" w:type="dxa"/>
            <w:vAlign w:val="center"/>
          </w:tcPr>
          <w:p w14:paraId="278DBD91" w14:textId="2994585D" w:rsidR="00901223" w:rsidRDefault="00F021AA" w:rsidP="00371E6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Rzecznik Małych </w:t>
            </w:r>
            <w:r w:rsidR="009900A0"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i Średnich Przedsiębiorców</w:t>
            </w:r>
          </w:p>
        </w:tc>
        <w:tc>
          <w:tcPr>
            <w:tcW w:w="5314" w:type="dxa"/>
          </w:tcPr>
          <w:p w14:paraId="03AE3E58" w14:textId="4049BA26" w:rsidR="00901223" w:rsidRPr="000E4BE2" w:rsidRDefault="00F021AA" w:rsidP="00371E62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1AA">
              <w:rPr>
                <w:rFonts w:ascii="Times New Roman" w:hAnsi="Times New Roman" w:cs="Times New Roman"/>
              </w:rPr>
              <w:t>Przepisy § 2 ust. 6 pkt 4 oraz § 3 ust. 6 pkt 5 Projektu, określające zawartość protokołu przekazywanych i udostępniania danych, mogą wymagać uzupełnienia o wskazywanie sum kontrolnych przekazywanych plików wraz ze wskazaniem algorytmu, którym dokonano obliczenia. Projekt przewiduje już szczegółowy katalog elementów protokołu przekazania danych umożliwiających ich identyfikację (m.in. rodzaj i liczba nośników, liczba i wielkość plików, formaty, oprogramowanie, hasła i kody dostępu) – ale wymaga pewności co do niezmienności przekazanego materiału, zwłaszcza w kontekście okoliczności w jakich dane są przekazywane (zaprzestanie działalności, upadłość). Postulowane uzupełnienie może ograniczyć wątpliwości w zakresie ilość, rodzaju i objętości przekazanych danych.</w:t>
            </w:r>
          </w:p>
        </w:tc>
        <w:tc>
          <w:tcPr>
            <w:tcW w:w="6437" w:type="dxa"/>
          </w:tcPr>
          <w:p w14:paraId="09024301" w14:textId="2C4B6799" w:rsidR="00901223" w:rsidRPr="006934BE" w:rsidRDefault="00EC4F2C" w:rsidP="00371E62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C4F2C">
              <w:rPr>
                <w:rFonts w:ascii="Times New Roman" w:hAnsi="Times New Roman" w:cs="Times New Roman"/>
              </w:rPr>
              <w:t xml:space="preserve">Upoważnienie ustawowe nakłada </w:t>
            </w:r>
            <w:r>
              <w:rPr>
                <w:rFonts w:ascii="Times New Roman" w:hAnsi="Times New Roman" w:cs="Times New Roman"/>
              </w:rPr>
              <w:t xml:space="preserve">obowiązek </w:t>
            </w:r>
            <w:r w:rsidRPr="00EC4F2C">
              <w:rPr>
                <w:rFonts w:ascii="Times New Roman" w:hAnsi="Times New Roman" w:cs="Times New Roman"/>
              </w:rPr>
              <w:t>określeni</w:t>
            </w:r>
            <w:r>
              <w:rPr>
                <w:rFonts w:ascii="Times New Roman" w:hAnsi="Times New Roman" w:cs="Times New Roman"/>
              </w:rPr>
              <w:t>a</w:t>
            </w:r>
            <w:r w:rsidRPr="00EC4F2C">
              <w:rPr>
                <w:rFonts w:ascii="Times New Roman" w:hAnsi="Times New Roman" w:cs="Times New Roman"/>
              </w:rPr>
              <w:t xml:space="preserve"> wyłącznie trybu przekazywania danych Prezesowi UKE i udostępniania tych danych podmiotom</w:t>
            </w:r>
            <w:r w:rsidR="00793F55">
              <w:rPr>
                <w:rFonts w:ascii="Times New Roman" w:hAnsi="Times New Roman" w:cs="Times New Roman"/>
              </w:rPr>
              <w:t>, o których mowa w art. 47 ust. 1 pkt 2 PKE</w:t>
            </w:r>
            <w:r w:rsidRPr="00EC4F2C">
              <w:rPr>
                <w:rFonts w:ascii="Times New Roman" w:hAnsi="Times New Roman" w:cs="Times New Roman"/>
              </w:rPr>
              <w:t xml:space="preserve">. Natomiast jedyną „wytyczną” co do parametrów przekazywanych plików jest przepis art. 48 ust. 1 PKE: </w:t>
            </w:r>
            <w:r w:rsidRPr="00041E87">
              <w:rPr>
                <w:rFonts w:ascii="Times New Roman" w:hAnsi="Times New Roman" w:cs="Times New Roman"/>
              </w:rPr>
              <w:t>„</w:t>
            </w:r>
            <w:r w:rsidR="006934BE">
              <w:rPr>
                <w:rFonts w:ascii="Times New Roman" w:hAnsi="Times New Roman" w:cs="Times New Roman"/>
              </w:rPr>
              <w:t>(…)</w:t>
            </w:r>
            <w:r w:rsidR="00A1161B">
              <w:rPr>
                <w:rFonts w:ascii="Times New Roman" w:hAnsi="Times New Roman" w:cs="Times New Roman"/>
              </w:rPr>
              <w:t xml:space="preserve"> </w:t>
            </w:r>
            <w:r w:rsidRPr="00041E87">
              <w:rPr>
                <w:rFonts w:ascii="Times New Roman" w:hAnsi="Times New Roman" w:cs="Times New Roman"/>
              </w:rPr>
              <w:t>w postaci zapisu w</w:t>
            </w:r>
            <w:r w:rsidR="00FA2803">
              <w:rPr>
                <w:rFonts w:ascii="Times New Roman" w:hAnsi="Times New Roman" w:cs="Times New Roman"/>
              </w:rPr>
              <w:t> </w:t>
            </w:r>
            <w:r w:rsidRPr="00041E87">
              <w:rPr>
                <w:rFonts w:ascii="Times New Roman" w:hAnsi="Times New Roman" w:cs="Times New Roman"/>
              </w:rPr>
              <w:t>formacie tekstowym lub innym formacie umożliwiającym ich odczyt za pomocą powszechnie dostępnych urządzeń informatycznych i</w:t>
            </w:r>
            <w:r w:rsidR="00FA2803">
              <w:rPr>
                <w:rFonts w:ascii="Times New Roman" w:hAnsi="Times New Roman" w:cs="Times New Roman"/>
              </w:rPr>
              <w:t> </w:t>
            </w:r>
            <w:r w:rsidRPr="00041E87">
              <w:rPr>
                <w:rFonts w:ascii="Times New Roman" w:hAnsi="Times New Roman" w:cs="Times New Roman"/>
              </w:rPr>
              <w:t>oprogramowania”</w:t>
            </w:r>
            <w:r w:rsidRPr="006934BE">
              <w:rPr>
                <w:rFonts w:ascii="Times New Roman" w:hAnsi="Times New Roman" w:cs="Times New Roman"/>
              </w:rPr>
              <w:t>.</w:t>
            </w:r>
          </w:p>
          <w:p w14:paraId="4E9A6134" w14:textId="3EFA12A4" w:rsidR="004B081C" w:rsidRPr="003025C8" w:rsidRDefault="00EF4335" w:rsidP="00FA2803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Należy również wskazać, że dane retencyjne objęte są tajemnicą komunikacji elektronicznej i mogą być przetwarzane jedynie na podstawie i w granicach prawa, w szczególności na podstawie i</w:t>
            </w:r>
            <w:r w:rsidR="00FA280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</w:t>
            </w:r>
            <w:r w:rsidR="00FA280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granicach przepisów PKE lub przepisów o ochronie danych osobowych. Modyfikowanie przekazywanych Prezesowi UKE danych może stanowić nieuprawnioną ingerencję, której dokonywanie jest niedopuszczalne w świetle wskazanych regulacji</w:t>
            </w:r>
            <w:r w:rsidR="008248BA">
              <w:rPr>
                <w:rFonts w:ascii="Times New Roman" w:hAnsi="Times New Roman" w:cs="Times New Roman"/>
              </w:rPr>
              <w:t>.</w:t>
            </w:r>
          </w:p>
        </w:tc>
      </w:tr>
    </w:tbl>
    <w:p w14:paraId="190C04C4" w14:textId="77777777" w:rsidR="00DF4527" w:rsidRPr="007C5FE4" w:rsidRDefault="00DF4527" w:rsidP="00371E62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sz w:val="4"/>
          <w:szCs w:val="4"/>
        </w:rPr>
      </w:pPr>
    </w:p>
    <w:sectPr w:rsidR="00DF4527" w:rsidRPr="007C5FE4" w:rsidSect="00822E68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67F91"/>
    <w:multiLevelType w:val="hybridMultilevel"/>
    <w:tmpl w:val="46BAE420"/>
    <w:lvl w:ilvl="0" w:tplc="7DD4A44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D3939"/>
    <w:multiLevelType w:val="hybridMultilevel"/>
    <w:tmpl w:val="212E3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359420">
    <w:abstractNumId w:val="0"/>
  </w:num>
  <w:num w:numId="2" w16cid:durableId="408967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B75"/>
    <w:rsid w:val="00021A18"/>
    <w:rsid w:val="0002270F"/>
    <w:rsid w:val="0002320F"/>
    <w:rsid w:val="00032338"/>
    <w:rsid w:val="00040585"/>
    <w:rsid w:val="00041E87"/>
    <w:rsid w:val="000435C5"/>
    <w:rsid w:val="00047883"/>
    <w:rsid w:val="00050B75"/>
    <w:rsid w:val="00051AF7"/>
    <w:rsid w:val="00063A80"/>
    <w:rsid w:val="000930D6"/>
    <w:rsid w:val="000A4658"/>
    <w:rsid w:val="000B394D"/>
    <w:rsid w:val="000B56CE"/>
    <w:rsid w:val="000C2D23"/>
    <w:rsid w:val="000D2020"/>
    <w:rsid w:val="000D6E53"/>
    <w:rsid w:val="000E2643"/>
    <w:rsid w:val="000E7850"/>
    <w:rsid w:val="00105A68"/>
    <w:rsid w:val="00106012"/>
    <w:rsid w:val="00111205"/>
    <w:rsid w:val="0011261E"/>
    <w:rsid w:val="001148EE"/>
    <w:rsid w:val="001159CD"/>
    <w:rsid w:val="00133292"/>
    <w:rsid w:val="0013477A"/>
    <w:rsid w:val="00150683"/>
    <w:rsid w:val="00151930"/>
    <w:rsid w:val="00171C40"/>
    <w:rsid w:val="0017225B"/>
    <w:rsid w:val="00176D62"/>
    <w:rsid w:val="00181CA0"/>
    <w:rsid w:val="00183224"/>
    <w:rsid w:val="00187C72"/>
    <w:rsid w:val="001B7078"/>
    <w:rsid w:val="001C025A"/>
    <w:rsid w:val="001C391E"/>
    <w:rsid w:val="001D14B4"/>
    <w:rsid w:val="001D275B"/>
    <w:rsid w:val="001E05AB"/>
    <w:rsid w:val="001F01D9"/>
    <w:rsid w:val="001F1E8F"/>
    <w:rsid w:val="001F557A"/>
    <w:rsid w:val="001F7B92"/>
    <w:rsid w:val="00221556"/>
    <w:rsid w:val="00226798"/>
    <w:rsid w:val="0025338C"/>
    <w:rsid w:val="00255FFA"/>
    <w:rsid w:val="0025692B"/>
    <w:rsid w:val="002730BB"/>
    <w:rsid w:val="002772DD"/>
    <w:rsid w:val="00280FEF"/>
    <w:rsid w:val="002A2302"/>
    <w:rsid w:val="002A356A"/>
    <w:rsid w:val="002B53F0"/>
    <w:rsid w:val="002B7F97"/>
    <w:rsid w:val="002C2AB1"/>
    <w:rsid w:val="002D523F"/>
    <w:rsid w:val="003002D6"/>
    <w:rsid w:val="003025C8"/>
    <w:rsid w:val="00303D9D"/>
    <w:rsid w:val="00311FCD"/>
    <w:rsid w:val="003269E5"/>
    <w:rsid w:val="00346035"/>
    <w:rsid w:val="00371E62"/>
    <w:rsid w:val="00380FF8"/>
    <w:rsid w:val="00391EDB"/>
    <w:rsid w:val="00393FE2"/>
    <w:rsid w:val="00397CC1"/>
    <w:rsid w:val="003A0DC7"/>
    <w:rsid w:val="003B0702"/>
    <w:rsid w:val="003B0D24"/>
    <w:rsid w:val="003C4D6A"/>
    <w:rsid w:val="003E0DA5"/>
    <w:rsid w:val="003E0F79"/>
    <w:rsid w:val="003E3DB0"/>
    <w:rsid w:val="003E6546"/>
    <w:rsid w:val="003F34F9"/>
    <w:rsid w:val="003F6DF8"/>
    <w:rsid w:val="003F7BE1"/>
    <w:rsid w:val="00417CEA"/>
    <w:rsid w:val="004231BD"/>
    <w:rsid w:val="00431D75"/>
    <w:rsid w:val="004365B9"/>
    <w:rsid w:val="00436EBB"/>
    <w:rsid w:val="00454060"/>
    <w:rsid w:val="00455A6C"/>
    <w:rsid w:val="00470BB2"/>
    <w:rsid w:val="00471299"/>
    <w:rsid w:val="00477AE9"/>
    <w:rsid w:val="0049450C"/>
    <w:rsid w:val="004B081C"/>
    <w:rsid w:val="004C0B30"/>
    <w:rsid w:val="004D32C8"/>
    <w:rsid w:val="004D6C30"/>
    <w:rsid w:val="004E7753"/>
    <w:rsid w:val="0051241C"/>
    <w:rsid w:val="00516EFF"/>
    <w:rsid w:val="0052109B"/>
    <w:rsid w:val="00525038"/>
    <w:rsid w:val="00525C4F"/>
    <w:rsid w:val="0053279A"/>
    <w:rsid w:val="00534CA7"/>
    <w:rsid w:val="005606F4"/>
    <w:rsid w:val="00561F7A"/>
    <w:rsid w:val="0056535D"/>
    <w:rsid w:val="00566ACF"/>
    <w:rsid w:val="005737A7"/>
    <w:rsid w:val="00575A8C"/>
    <w:rsid w:val="0057644A"/>
    <w:rsid w:val="00580498"/>
    <w:rsid w:val="005815BB"/>
    <w:rsid w:val="005A5812"/>
    <w:rsid w:val="005B41C0"/>
    <w:rsid w:val="005C36CC"/>
    <w:rsid w:val="005C4715"/>
    <w:rsid w:val="005D592D"/>
    <w:rsid w:val="005D7246"/>
    <w:rsid w:val="005E7D2F"/>
    <w:rsid w:val="00611043"/>
    <w:rsid w:val="0061562A"/>
    <w:rsid w:val="006377B7"/>
    <w:rsid w:val="0064569A"/>
    <w:rsid w:val="006526AA"/>
    <w:rsid w:val="00671640"/>
    <w:rsid w:val="00676CDB"/>
    <w:rsid w:val="00683949"/>
    <w:rsid w:val="00683FD3"/>
    <w:rsid w:val="006866F6"/>
    <w:rsid w:val="006910E0"/>
    <w:rsid w:val="006934BE"/>
    <w:rsid w:val="006A49C1"/>
    <w:rsid w:val="006B2959"/>
    <w:rsid w:val="006B3AE6"/>
    <w:rsid w:val="006E4E58"/>
    <w:rsid w:val="006F4BFC"/>
    <w:rsid w:val="007245F0"/>
    <w:rsid w:val="00724868"/>
    <w:rsid w:val="00731387"/>
    <w:rsid w:val="0074319A"/>
    <w:rsid w:val="00747B38"/>
    <w:rsid w:val="0075792A"/>
    <w:rsid w:val="0076047B"/>
    <w:rsid w:val="0076170D"/>
    <w:rsid w:val="00775FF8"/>
    <w:rsid w:val="00777F8A"/>
    <w:rsid w:val="00793F55"/>
    <w:rsid w:val="0079576C"/>
    <w:rsid w:val="007C2209"/>
    <w:rsid w:val="007C5FE4"/>
    <w:rsid w:val="007D7CD8"/>
    <w:rsid w:val="007E0EBE"/>
    <w:rsid w:val="007E63C0"/>
    <w:rsid w:val="007E6402"/>
    <w:rsid w:val="007F5F8C"/>
    <w:rsid w:val="008033D7"/>
    <w:rsid w:val="00805512"/>
    <w:rsid w:val="008157C4"/>
    <w:rsid w:val="00822E68"/>
    <w:rsid w:val="008248BA"/>
    <w:rsid w:val="0082705B"/>
    <w:rsid w:val="008305EE"/>
    <w:rsid w:val="008365EA"/>
    <w:rsid w:val="00841696"/>
    <w:rsid w:val="00843246"/>
    <w:rsid w:val="008610C1"/>
    <w:rsid w:val="00874421"/>
    <w:rsid w:val="00880FD7"/>
    <w:rsid w:val="00881BBD"/>
    <w:rsid w:val="00884AD6"/>
    <w:rsid w:val="008B3FEF"/>
    <w:rsid w:val="008B5D0C"/>
    <w:rsid w:val="008C017A"/>
    <w:rsid w:val="008C0983"/>
    <w:rsid w:val="008C68E1"/>
    <w:rsid w:val="008D1A7B"/>
    <w:rsid w:val="008D1DA2"/>
    <w:rsid w:val="008D6C95"/>
    <w:rsid w:val="008E630D"/>
    <w:rsid w:val="008E7D01"/>
    <w:rsid w:val="00900002"/>
    <w:rsid w:val="00901223"/>
    <w:rsid w:val="009124CD"/>
    <w:rsid w:val="00926AE5"/>
    <w:rsid w:val="009535AF"/>
    <w:rsid w:val="009753A3"/>
    <w:rsid w:val="009900A0"/>
    <w:rsid w:val="0099273F"/>
    <w:rsid w:val="009A2493"/>
    <w:rsid w:val="009B0D83"/>
    <w:rsid w:val="009B6AD5"/>
    <w:rsid w:val="009C0273"/>
    <w:rsid w:val="009E5722"/>
    <w:rsid w:val="009E6CD0"/>
    <w:rsid w:val="009F308B"/>
    <w:rsid w:val="009F4551"/>
    <w:rsid w:val="009F4E1D"/>
    <w:rsid w:val="00A1161B"/>
    <w:rsid w:val="00A16496"/>
    <w:rsid w:val="00A25087"/>
    <w:rsid w:val="00A32068"/>
    <w:rsid w:val="00A36029"/>
    <w:rsid w:val="00A37947"/>
    <w:rsid w:val="00A56B6B"/>
    <w:rsid w:val="00A6410E"/>
    <w:rsid w:val="00A679EE"/>
    <w:rsid w:val="00A75222"/>
    <w:rsid w:val="00A9454E"/>
    <w:rsid w:val="00AA5AED"/>
    <w:rsid w:val="00AA7916"/>
    <w:rsid w:val="00AB555B"/>
    <w:rsid w:val="00AB5DE4"/>
    <w:rsid w:val="00AC3C28"/>
    <w:rsid w:val="00AC578D"/>
    <w:rsid w:val="00AD426D"/>
    <w:rsid w:val="00AE1037"/>
    <w:rsid w:val="00AF4F03"/>
    <w:rsid w:val="00AF5017"/>
    <w:rsid w:val="00B0370D"/>
    <w:rsid w:val="00B1175C"/>
    <w:rsid w:val="00B135DF"/>
    <w:rsid w:val="00B258C2"/>
    <w:rsid w:val="00B30AFD"/>
    <w:rsid w:val="00B3563F"/>
    <w:rsid w:val="00B37130"/>
    <w:rsid w:val="00B518AE"/>
    <w:rsid w:val="00B574AA"/>
    <w:rsid w:val="00B734D7"/>
    <w:rsid w:val="00B82022"/>
    <w:rsid w:val="00B858B1"/>
    <w:rsid w:val="00BB32FB"/>
    <w:rsid w:val="00BB4C6E"/>
    <w:rsid w:val="00BB4D5C"/>
    <w:rsid w:val="00BC12B1"/>
    <w:rsid w:val="00BD2BBF"/>
    <w:rsid w:val="00BE1C47"/>
    <w:rsid w:val="00BE46F3"/>
    <w:rsid w:val="00BF0B52"/>
    <w:rsid w:val="00C05E56"/>
    <w:rsid w:val="00C35730"/>
    <w:rsid w:val="00C6182A"/>
    <w:rsid w:val="00C61D85"/>
    <w:rsid w:val="00C84E96"/>
    <w:rsid w:val="00C85E01"/>
    <w:rsid w:val="00C95D17"/>
    <w:rsid w:val="00CB72F9"/>
    <w:rsid w:val="00CC0DAD"/>
    <w:rsid w:val="00CC4345"/>
    <w:rsid w:val="00CE6989"/>
    <w:rsid w:val="00CF60EA"/>
    <w:rsid w:val="00CF7A97"/>
    <w:rsid w:val="00D07A67"/>
    <w:rsid w:val="00D12F39"/>
    <w:rsid w:val="00D15D78"/>
    <w:rsid w:val="00D2063C"/>
    <w:rsid w:val="00D33B90"/>
    <w:rsid w:val="00D457A2"/>
    <w:rsid w:val="00D45E15"/>
    <w:rsid w:val="00D60E44"/>
    <w:rsid w:val="00D83202"/>
    <w:rsid w:val="00D90A41"/>
    <w:rsid w:val="00D91C42"/>
    <w:rsid w:val="00DA6AF0"/>
    <w:rsid w:val="00DB117C"/>
    <w:rsid w:val="00DB6D35"/>
    <w:rsid w:val="00DB7EFE"/>
    <w:rsid w:val="00DC3479"/>
    <w:rsid w:val="00DC70EF"/>
    <w:rsid w:val="00DD4024"/>
    <w:rsid w:val="00DE1239"/>
    <w:rsid w:val="00DF2ECD"/>
    <w:rsid w:val="00DF4527"/>
    <w:rsid w:val="00E10F86"/>
    <w:rsid w:val="00E17A79"/>
    <w:rsid w:val="00E30F50"/>
    <w:rsid w:val="00E312F3"/>
    <w:rsid w:val="00E55666"/>
    <w:rsid w:val="00E65C89"/>
    <w:rsid w:val="00EA2F9F"/>
    <w:rsid w:val="00EA4A3D"/>
    <w:rsid w:val="00EB4754"/>
    <w:rsid w:val="00EC4F2C"/>
    <w:rsid w:val="00EC5F98"/>
    <w:rsid w:val="00EE4B1F"/>
    <w:rsid w:val="00EE7E41"/>
    <w:rsid w:val="00EF4335"/>
    <w:rsid w:val="00EF664D"/>
    <w:rsid w:val="00EF7E0E"/>
    <w:rsid w:val="00F021AA"/>
    <w:rsid w:val="00F06F9F"/>
    <w:rsid w:val="00F1302E"/>
    <w:rsid w:val="00F26242"/>
    <w:rsid w:val="00F3088A"/>
    <w:rsid w:val="00F31FF6"/>
    <w:rsid w:val="00F40488"/>
    <w:rsid w:val="00F42A24"/>
    <w:rsid w:val="00F4411E"/>
    <w:rsid w:val="00F47C1E"/>
    <w:rsid w:val="00F47F82"/>
    <w:rsid w:val="00F8215C"/>
    <w:rsid w:val="00FA2803"/>
    <w:rsid w:val="00FB4A93"/>
    <w:rsid w:val="00FC1533"/>
    <w:rsid w:val="00FD5808"/>
    <w:rsid w:val="00FD7A53"/>
    <w:rsid w:val="00FE0F03"/>
    <w:rsid w:val="00FE1FE4"/>
    <w:rsid w:val="00FE42D5"/>
    <w:rsid w:val="00FE77BD"/>
    <w:rsid w:val="00FF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39F7"/>
  <w15:chartTrackingRefBased/>
  <w15:docId w15:val="{93B21FEE-3A9F-44A9-A3D0-188F8363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A18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0B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0B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B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0B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0B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B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0B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0B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0B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0B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0B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B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0B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0B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B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0B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0B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0B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0B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0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0B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0B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0B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0B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0B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0B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0B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0B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0B75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DF452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F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021A1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1A1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021A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21A1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9454E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470BB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0BB2"/>
    <w:rPr>
      <w:color w:val="605E5C"/>
      <w:shd w:val="clear" w:color="auto" w:fill="E1DFDD"/>
    </w:rPr>
  </w:style>
  <w:style w:type="paragraph" w:customStyle="1" w:styleId="dane4">
    <w:name w:val="dane4"/>
    <w:basedOn w:val="Normalny"/>
    <w:link w:val="dane4Znak"/>
    <w:qFormat/>
    <w:rsid w:val="00AD426D"/>
    <w:pPr>
      <w:spacing w:line="276" w:lineRule="auto"/>
    </w:pPr>
    <w:rPr>
      <w:rFonts w:ascii="Lato" w:eastAsiaTheme="minorHAnsi" w:hAnsi="Lato" w:cstheme="minorBidi"/>
      <w:sz w:val="24"/>
      <w:szCs w:val="22"/>
      <w:lang w:eastAsia="en-US"/>
    </w:rPr>
  </w:style>
  <w:style w:type="character" w:customStyle="1" w:styleId="dane4Znak">
    <w:name w:val="dane4 Znak"/>
    <w:basedOn w:val="Domylnaczcionkaakapitu"/>
    <w:link w:val="dane4"/>
    <w:rsid w:val="00AD426D"/>
    <w:rPr>
      <w:rFonts w:ascii="Lato" w:hAnsi="Lato"/>
      <w:kern w:val="0"/>
      <w:sz w:val="24"/>
      <w14:ligatures w14:val="none"/>
    </w:rPr>
  </w:style>
  <w:style w:type="paragraph" w:customStyle="1" w:styleId="Dane40">
    <w:name w:val="Dane4"/>
    <w:basedOn w:val="Normalny"/>
    <w:link w:val="Dane4Znak0"/>
    <w:qFormat/>
    <w:rsid w:val="00AD426D"/>
    <w:pPr>
      <w:spacing w:line="276" w:lineRule="auto"/>
    </w:pPr>
    <w:rPr>
      <w:rFonts w:ascii="Lato" w:eastAsiaTheme="minorHAnsi" w:hAnsi="Lato" w:cstheme="minorBidi"/>
      <w:sz w:val="22"/>
      <w:szCs w:val="22"/>
      <w:lang w:eastAsia="en-US"/>
    </w:rPr>
  </w:style>
  <w:style w:type="character" w:customStyle="1" w:styleId="Dane4Znak0">
    <w:name w:val="Dane4 Znak"/>
    <w:basedOn w:val="Domylnaczcionkaakapitu"/>
    <w:link w:val="Dane40"/>
    <w:rsid w:val="00AD426D"/>
    <w:rPr>
      <w:rFonts w:ascii="Lato" w:hAnsi="Lato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153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79E0C-216C-4DB3-B615-09A73CE3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973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Muszyński Marcin</dc:creator>
  <cp:keywords/>
  <dc:description/>
  <cp:lastModifiedBy>Chmielecka Magdalena</cp:lastModifiedBy>
  <cp:revision>51</cp:revision>
  <dcterms:created xsi:type="dcterms:W3CDTF">2025-09-25T06:04:00Z</dcterms:created>
  <dcterms:modified xsi:type="dcterms:W3CDTF">2026-03-30T13:00:00Z</dcterms:modified>
</cp:coreProperties>
</file>